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042E0D">
      <w:pPr>
        <w:spacing w:line="360" w:lineRule="auto"/>
        <w:jc w:val="center"/>
        <w:rPr>
          <w:rFonts w:asciiTheme="minorAscii" w:hAnsiTheme="minorAscii"/>
          <w:b/>
          <w:bCs/>
          <w:color w:val="0D0D0D" w:themeColor="text1" w:themeTint="F2"/>
          <w:sz w:val="20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default" w:asciiTheme="minorAscii" w:hAnsiTheme="minorAscii" w:eastAsiaTheme="majorEastAsia" w:cstheme="majorEastAsia"/>
          <w:color w:val="000000"/>
          <w:kern w:val="0"/>
          <w:sz w:val="20"/>
          <w:szCs w:val="20"/>
        </w:rPr>
        <w:t>T</w:t>
      </w:r>
      <w:r>
        <w:rPr>
          <w:rFonts w:asciiTheme="minorAscii" w:hAnsiTheme="minorAscii" w:eastAsiaTheme="majorEastAsia" w:cstheme="majorEastAsia"/>
          <w:color w:val="000000"/>
          <w:kern w:val="0"/>
          <w:sz w:val="20"/>
          <w:szCs w:val="20"/>
        </w:rPr>
        <w:t xml:space="preserve">able </w:t>
      </w:r>
      <w:r>
        <w:rPr>
          <w:rFonts w:hint="default" w:asciiTheme="minorAscii" w:hAnsiTheme="minorAscii" w:eastAsiaTheme="majorEastAsia" w:cstheme="majorEastAsia"/>
          <w:color w:val="000000"/>
          <w:kern w:val="0"/>
          <w:sz w:val="20"/>
          <w:szCs w:val="20"/>
        </w:rPr>
        <w:t xml:space="preserve">1 </w:t>
      </w:r>
      <w:r>
        <w:rPr>
          <w:rFonts w:asciiTheme="minorAscii" w:hAnsiTheme="minorAscii" w:eastAsiaTheme="majorEastAsia" w:cstheme="majorEastAsia"/>
          <w:color w:val="000000"/>
          <w:kern w:val="0"/>
          <w:sz w:val="20"/>
          <w:szCs w:val="20"/>
        </w:rPr>
        <w:t>Basic characteristics of the included literature</w:t>
      </w:r>
    </w:p>
    <w:tbl>
      <w:tblPr>
        <w:tblStyle w:val="4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4"/>
        <w:gridCol w:w="2831"/>
        <w:gridCol w:w="1587"/>
        <w:gridCol w:w="1152"/>
        <w:gridCol w:w="1588"/>
      </w:tblGrid>
      <w:tr w14:paraId="3D4F2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1484" w:type="dxa"/>
          </w:tcPr>
          <w:p w14:paraId="363C4F3D">
            <w:pPr>
              <w:pStyle w:val="2"/>
              <w:spacing w:line="360" w:lineRule="auto"/>
              <w:jc w:val="center"/>
              <w:rPr>
                <w:rFonts w:ascii="Arial" w:hAnsi="Arial" w:eastAsia="Times New Roman" w:cs="Arial"/>
                <w:color w:val="0D0D0D" w:themeColor="text1" w:themeTint="F2"/>
                <w:sz w:val="13"/>
                <w:szCs w:val="13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eastAsia="Times New Roman" w:cs="Arial"/>
                <w:color w:val="0D0D0D" w:themeColor="text1" w:themeTint="F2"/>
                <w:sz w:val="13"/>
                <w:szCs w:val="13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Literature</w:t>
            </w:r>
          </w:p>
        </w:tc>
        <w:tc>
          <w:tcPr>
            <w:tcW w:w="2831" w:type="dxa"/>
          </w:tcPr>
          <w:p w14:paraId="45E8C759">
            <w:pPr>
              <w:pStyle w:val="2"/>
              <w:spacing w:line="360" w:lineRule="auto"/>
              <w:jc w:val="center"/>
              <w:rPr>
                <w:rFonts w:ascii="Arial" w:hAnsi="Arial" w:eastAsia="Times New Roman" w:cs="Arial"/>
                <w:color w:val="0D0D0D" w:themeColor="text1" w:themeTint="F2"/>
                <w:sz w:val="13"/>
                <w:szCs w:val="13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eastAsia="Times New Roman" w:cs="Arial"/>
                <w:color w:val="0D0D0D" w:themeColor="text1" w:themeTint="F2"/>
                <w:sz w:val="13"/>
                <w:szCs w:val="13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Literature Topics</w:t>
            </w:r>
          </w:p>
        </w:tc>
        <w:tc>
          <w:tcPr>
            <w:tcW w:w="1587" w:type="dxa"/>
          </w:tcPr>
          <w:p w14:paraId="2C97304B">
            <w:pPr>
              <w:pStyle w:val="2"/>
              <w:spacing w:line="360" w:lineRule="auto"/>
              <w:jc w:val="center"/>
              <w:rPr>
                <w:rFonts w:ascii="Arial" w:hAnsi="Arial" w:eastAsia="Times New Roman" w:cs="Arial"/>
                <w:color w:val="0D0D0D" w:themeColor="text1" w:themeTint="F2"/>
                <w:sz w:val="13"/>
                <w:szCs w:val="13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eastAsia="Times New Roman" w:cs="Arial"/>
                <w:color w:val="0D0D0D" w:themeColor="text1" w:themeTint="F2"/>
                <w:sz w:val="13"/>
                <w:szCs w:val="13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Literature Sources</w:t>
            </w:r>
          </w:p>
        </w:tc>
        <w:tc>
          <w:tcPr>
            <w:tcW w:w="1152" w:type="dxa"/>
          </w:tcPr>
          <w:p w14:paraId="0248E0BD">
            <w:pPr>
              <w:pStyle w:val="2"/>
              <w:spacing w:line="360" w:lineRule="auto"/>
              <w:jc w:val="center"/>
              <w:rPr>
                <w:rFonts w:ascii="Arial" w:hAnsi="Arial" w:eastAsia="Times New Roman" w:cs="Arial"/>
                <w:color w:val="0D0D0D" w:themeColor="text1" w:themeTint="F2"/>
                <w:sz w:val="13"/>
                <w:szCs w:val="13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eastAsia="Times New Roman" w:cs="Arial"/>
                <w:color w:val="0D0D0D" w:themeColor="text1" w:themeTint="F2"/>
                <w:sz w:val="13"/>
                <w:szCs w:val="13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Type of Literature</w:t>
            </w:r>
          </w:p>
        </w:tc>
        <w:tc>
          <w:tcPr>
            <w:tcW w:w="1588" w:type="dxa"/>
          </w:tcPr>
          <w:p w14:paraId="5747A07B">
            <w:pPr>
              <w:pStyle w:val="2"/>
              <w:spacing w:line="360" w:lineRule="auto"/>
              <w:jc w:val="center"/>
              <w:rPr>
                <w:rFonts w:ascii="Arial" w:hAnsi="Arial" w:eastAsia="Times New Roman" w:cs="Arial"/>
                <w:color w:val="0D0D0D" w:themeColor="text1" w:themeTint="F2"/>
                <w:sz w:val="13"/>
                <w:szCs w:val="13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eastAsia="Times New Roman" w:cs="Arial"/>
                <w:color w:val="0D0D0D" w:themeColor="text1" w:themeTint="F2"/>
                <w:sz w:val="13"/>
                <w:szCs w:val="13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Time of publication (year)</w:t>
            </w:r>
          </w:p>
        </w:tc>
      </w:tr>
      <w:tr w14:paraId="7373D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1484" w:type="dxa"/>
          </w:tcPr>
          <w:p w14:paraId="3DA7831B">
            <w:pPr>
              <w:pStyle w:val="2"/>
              <w:spacing w:line="360" w:lineRule="auto"/>
              <w:jc w:val="center"/>
              <w:rPr>
                <w:rFonts w:ascii="Arial" w:hAnsi="Arial" w:eastAsia="Times New Roman" w:cs="Arial"/>
                <w:b/>
                <w:bCs/>
                <w:color w:val="0D0D0D" w:themeColor="text1" w:themeTint="F2"/>
                <w:sz w:val="13"/>
                <w:szCs w:val="13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eastAsia="AdobeHeitiStd-Regular" w:cs="Arial"/>
                <w:sz w:val="13"/>
                <w:szCs w:val="13"/>
              </w:rPr>
              <w:t>Faith Caitlyn Valdez BSStat</w:t>
            </w:r>
            <w:r>
              <w:rPr>
                <w:rFonts w:hint="eastAsia" w:ascii="Arial" w:hAnsi="Arial" w:eastAsia="AdobeHeitiStd-Regular" w:cs="Arial"/>
                <w:kern w:val="2"/>
                <w:sz w:val="13"/>
                <w:szCs w:val="13"/>
                <w:lang w:val="en-US" w:eastAsia="zh-CN" w:bidi="ar-SA"/>
              </w:rPr>
              <w:t>[6]</w:t>
            </w:r>
          </w:p>
        </w:tc>
        <w:tc>
          <w:tcPr>
            <w:tcW w:w="2831" w:type="dxa"/>
          </w:tcPr>
          <w:p w14:paraId="48B03A1A">
            <w:pPr>
              <w:pStyle w:val="2"/>
              <w:spacing w:line="360" w:lineRule="auto"/>
              <w:jc w:val="left"/>
              <w:rPr>
                <w:rFonts w:ascii="Arial" w:hAnsi="Arial" w:eastAsia="AdobeHeitiStd-Regular" w:cs="Arial"/>
                <w:sz w:val="13"/>
                <w:szCs w:val="13"/>
              </w:rPr>
            </w:pPr>
            <w:r>
              <w:rPr>
                <w:rFonts w:ascii="Arial" w:hAnsi="Arial" w:eastAsia="AdobeHeitiStd-Regular" w:cs="Arial"/>
                <w:sz w:val="13"/>
                <w:szCs w:val="13"/>
              </w:rPr>
              <w:t>Management of oral care in critically ill patients</w:t>
            </w:r>
          </w:p>
        </w:tc>
        <w:tc>
          <w:tcPr>
            <w:tcW w:w="1587" w:type="dxa"/>
          </w:tcPr>
          <w:p w14:paraId="0CDEA31B">
            <w:pPr>
              <w:pStyle w:val="2"/>
              <w:spacing w:line="360" w:lineRule="auto"/>
              <w:ind w:firstLine="130" w:firstLineChars="100"/>
              <w:jc w:val="center"/>
              <w:rPr>
                <w:rFonts w:ascii="Arial" w:hAnsi="Arial" w:eastAsia="AdobeHeitiStd-Regular" w:cs="Arial"/>
                <w:sz w:val="13"/>
                <w:szCs w:val="13"/>
              </w:rPr>
            </w:pPr>
            <w:r>
              <w:rPr>
                <w:rFonts w:ascii="Arial" w:hAnsi="Arial" w:eastAsia="AdobeHeitiStd-Regular" w:cs="Arial"/>
                <w:sz w:val="13"/>
                <w:szCs w:val="13"/>
              </w:rPr>
              <w:t>The Joanna Briggs Institute Library</w:t>
            </w:r>
          </w:p>
        </w:tc>
        <w:tc>
          <w:tcPr>
            <w:tcW w:w="1152" w:type="dxa"/>
          </w:tcPr>
          <w:p w14:paraId="6F2AB84E">
            <w:pPr>
              <w:pStyle w:val="2"/>
              <w:spacing w:line="360" w:lineRule="auto"/>
              <w:ind w:firstLine="130" w:firstLineChars="100"/>
              <w:jc w:val="both"/>
              <w:rPr>
                <w:rFonts w:ascii="Arial" w:hAnsi="Arial" w:eastAsia="AdobeHeitiStd-Regular" w:cs="Arial"/>
                <w:sz w:val="13"/>
                <w:szCs w:val="13"/>
              </w:rPr>
            </w:pPr>
            <w:r>
              <w:rPr>
                <w:rFonts w:ascii="Arial" w:hAnsi="Arial" w:eastAsia="AdobeHeitiStd-Regular" w:cs="Arial"/>
                <w:sz w:val="13"/>
                <w:szCs w:val="13"/>
              </w:rPr>
              <w:t>Evidence Summary</w:t>
            </w:r>
          </w:p>
        </w:tc>
        <w:tc>
          <w:tcPr>
            <w:tcW w:w="1588" w:type="dxa"/>
          </w:tcPr>
          <w:p w14:paraId="121872B6">
            <w:pPr>
              <w:pStyle w:val="2"/>
              <w:spacing w:line="360" w:lineRule="auto"/>
              <w:ind w:firstLine="130" w:firstLineChars="100"/>
              <w:jc w:val="center"/>
              <w:rPr>
                <w:rFonts w:ascii="Arial" w:hAnsi="Arial" w:eastAsia="Times New Roman" w:cs="Arial"/>
                <w:b/>
                <w:bCs/>
                <w:color w:val="0D0D0D" w:themeColor="text1" w:themeTint="F2"/>
                <w:sz w:val="13"/>
                <w:szCs w:val="13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eastAsia="AdobeHeitiStd-Regular" w:cs="Arial"/>
                <w:sz w:val="13"/>
                <w:szCs w:val="13"/>
              </w:rPr>
              <w:t>2021</w:t>
            </w:r>
          </w:p>
        </w:tc>
      </w:tr>
      <w:tr w14:paraId="210FE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484" w:type="dxa"/>
          </w:tcPr>
          <w:p w14:paraId="5315E704">
            <w:pPr>
              <w:pStyle w:val="2"/>
              <w:spacing w:line="360" w:lineRule="auto"/>
              <w:jc w:val="center"/>
              <w:rPr>
                <w:rFonts w:ascii="Arial" w:hAnsi="Arial" w:eastAsia="AdobeHeitiStd-Regular" w:cs="Arial"/>
                <w:sz w:val="13"/>
                <w:szCs w:val="13"/>
              </w:rPr>
            </w:pPr>
            <w:r>
              <w:rPr>
                <w:rFonts w:ascii="Arial" w:hAnsi="Arial" w:eastAsia="AdobeHeitiStd-Regular" w:cs="Arial"/>
                <w:sz w:val="13"/>
                <w:szCs w:val="13"/>
              </w:rPr>
              <w:t>NICE guideline</w:t>
            </w:r>
            <w:r>
              <w:rPr>
                <w:rFonts w:hint="eastAsia" w:ascii="Arial" w:hAnsi="Arial" w:eastAsia="AdobeHeitiStd-Regular" w:cs="Arial"/>
                <w:kern w:val="2"/>
                <w:sz w:val="13"/>
                <w:szCs w:val="13"/>
                <w:lang w:val="en-US" w:eastAsia="zh-CN" w:bidi="ar-SA"/>
              </w:rPr>
              <w:t>[7]</w:t>
            </w:r>
          </w:p>
        </w:tc>
        <w:tc>
          <w:tcPr>
            <w:tcW w:w="2831" w:type="dxa"/>
          </w:tcPr>
          <w:p w14:paraId="570037F4">
            <w:pPr>
              <w:pStyle w:val="2"/>
              <w:spacing w:line="360" w:lineRule="auto"/>
              <w:jc w:val="left"/>
              <w:rPr>
                <w:rFonts w:ascii="Arial" w:hAnsi="Arial" w:eastAsia="AdobeHeitiStd-Regular" w:cs="Arial"/>
                <w:sz w:val="13"/>
                <w:szCs w:val="13"/>
              </w:rPr>
            </w:pPr>
            <w:r>
              <w:rPr>
                <w:rFonts w:ascii="Arial" w:hAnsi="Arial" w:eastAsia="AdobeHeitiStd-Regular" w:cs="Arial"/>
                <w:sz w:val="13"/>
                <w:szCs w:val="13"/>
              </w:rPr>
              <w:t>Adult Oral Health Management</w:t>
            </w:r>
          </w:p>
        </w:tc>
        <w:tc>
          <w:tcPr>
            <w:tcW w:w="1587" w:type="dxa"/>
          </w:tcPr>
          <w:p w14:paraId="7CF09599">
            <w:pPr>
              <w:pStyle w:val="2"/>
              <w:spacing w:line="360" w:lineRule="auto"/>
              <w:jc w:val="center"/>
              <w:rPr>
                <w:rFonts w:ascii="Arial" w:hAnsi="Arial" w:eastAsia="AdobeHeitiStd-Regular" w:cs="Arial"/>
                <w:sz w:val="13"/>
                <w:szCs w:val="13"/>
              </w:rPr>
            </w:pPr>
            <w:r>
              <w:rPr>
                <w:rFonts w:ascii="Arial" w:hAnsi="Arial" w:eastAsia="AdobeHeitiStd-Regular" w:cs="Arial"/>
                <w:sz w:val="13"/>
                <w:szCs w:val="13"/>
              </w:rPr>
              <w:t>NICE</w:t>
            </w:r>
          </w:p>
        </w:tc>
        <w:tc>
          <w:tcPr>
            <w:tcW w:w="1152" w:type="dxa"/>
          </w:tcPr>
          <w:p w14:paraId="035CC0C9">
            <w:pPr>
              <w:pStyle w:val="2"/>
              <w:spacing w:line="360" w:lineRule="auto"/>
              <w:jc w:val="center"/>
              <w:rPr>
                <w:rFonts w:ascii="Arial" w:hAnsi="Arial" w:eastAsia="AdobeHeitiStd-Regular" w:cs="Arial"/>
                <w:sz w:val="13"/>
                <w:szCs w:val="13"/>
              </w:rPr>
            </w:pPr>
            <w:r>
              <w:rPr>
                <w:rFonts w:ascii="Arial" w:hAnsi="Arial" w:eastAsia="AdobeHeitiStd-Regular" w:cs="Arial"/>
                <w:sz w:val="13"/>
                <w:szCs w:val="13"/>
              </w:rPr>
              <w:t>Guideline</w:t>
            </w:r>
          </w:p>
        </w:tc>
        <w:tc>
          <w:tcPr>
            <w:tcW w:w="1588" w:type="dxa"/>
          </w:tcPr>
          <w:p w14:paraId="33682B26">
            <w:pPr>
              <w:pStyle w:val="2"/>
              <w:spacing w:line="360" w:lineRule="auto"/>
              <w:jc w:val="center"/>
              <w:rPr>
                <w:rFonts w:ascii="Arial" w:hAnsi="Arial" w:eastAsia="AdobeHeitiStd-Regular" w:cs="Arial"/>
                <w:sz w:val="13"/>
                <w:szCs w:val="13"/>
              </w:rPr>
            </w:pPr>
            <w:r>
              <w:rPr>
                <w:rFonts w:ascii="Arial" w:hAnsi="Arial" w:eastAsia="AdobeHeitiStd-Regular" w:cs="Arial"/>
                <w:sz w:val="13"/>
                <w:szCs w:val="13"/>
              </w:rPr>
              <w:t>2016</w:t>
            </w:r>
          </w:p>
        </w:tc>
      </w:tr>
      <w:tr w14:paraId="63AB8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4" w:type="dxa"/>
          </w:tcPr>
          <w:p w14:paraId="5BFA100F">
            <w:pPr>
              <w:pStyle w:val="2"/>
              <w:spacing w:line="360" w:lineRule="auto"/>
              <w:jc w:val="center"/>
              <w:rPr>
                <w:rFonts w:ascii="Arial" w:hAnsi="Arial" w:eastAsia="AdobeHeitiStd-Regular" w:cs="Arial"/>
                <w:sz w:val="13"/>
                <w:szCs w:val="13"/>
              </w:rPr>
            </w:pPr>
            <w:r>
              <w:rPr>
                <w:rFonts w:eastAsia="Times New Roman"/>
                <w:sz w:val="13"/>
                <w:szCs w:val="13"/>
              </w:rPr>
              <w:t>Lijie P,</w:t>
            </w:r>
            <w:r>
              <w:rPr>
                <w:rFonts w:ascii="Arial" w:hAnsi="Arial" w:eastAsia="AdobeHeitiStd-Regular" w:cs="Arial"/>
                <w:sz w:val="13"/>
                <w:szCs w:val="13"/>
              </w:rPr>
              <w:t xml:space="preserve"> etc </w:t>
            </w:r>
            <w:r>
              <w:rPr>
                <w:rFonts w:hint="eastAsia" w:ascii="Arial" w:hAnsi="Arial" w:eastAsia="AdobeHeitiStd-Regular" w:cs="Arial"/>
                <w:kern w:val="2"/>
                <w:sz w:val="13"/>
                <w:szCs w:val="13"/>
                <w:lang w:val="en-US" w:eastAsia="zh-CN" w:bidi="ar-SA"/>
              </w:rPr>
              <w:t>[8]</w:t>
            </w:r>
          </w:p>
        </w:tc>
        <w:tc>
          <w:tcPr>
            <w:tcW w:w="2831" w:type="dxa"/>
          </w:tcPr>
          <w:p w14:paraId="6C75DDFA">
            <w:pPr>
              <w:pStyle w:val="2"/>
              <w:spacing w:line="360" w:lineRule="auto"/>
              <w:jc w:val="left"/>
              <w:rPr>
                <w:rFonts w:ascii="Arial" w:hAnsi="Arial" w:eastAsia="AdobeHeitiStd-Regular" w:cs="Arial"/>
                <w:sz w:val="13"/>
                <w:szCs w:val="13"/>
              </w:rPr>
            </w:pPr>
            <w:r>
              <w:rPr>
                <w:rFonts w:ascii="Arial" w:hAnsi="Arial" w:eastAsia="AdobeHeitiStd-Regular" w:cs="Arial"/>
                <w:sz w:val="13"/>
                <w:szCs w:val="13"/>
              </w:rPr>
              <w:t>Dynamic development of oral care interventions using the modified Beck oral score</w:t>
            </w:r>
          </w:p>
        </w:tc>
        <w:tc>
          <w:tcPr>
            <w:tcW w:w="1587" w:type="dxa"/>
          </w:tcPr>
          <w:p w14:paraId="6BFC4304">
            <w:pPr>
              <w:pStyle w:val="2"/>
              <w:spacing w:line="360" w:lineRule="auto"/>
              <w:jc w:val="center"/>
              <w:rPr>
                <w:rFonts w:ascii="Arial" w:hAnsi="Arial" w:eastAsia="AdobeHeitiStd-Regular" w:cs="Arial"/>
                <w:sz w:val="13"/>
                <w:szCs w:val="13"/>
              </w:rPr>
            </w:pPr>
            <w:r>
              <w:rPr>
                <w:rFonts w:ascii="Arial" w:hAnsi="Arial" w:eastAsia="AdobeHeitiStd-Regular" w:cs="Arial"/>
                <w:sz w:val="13"/>
                <w:szCs w:val="13"/>
              </w:rPr>
              <w:t>The Chinese Wanfang database</w:t>
            </w:r>
          </w:p>
        </w:tc>
        <w:tc>
          <w:tcPr>
            <w:tcW w:w="1152" w:type="dxa"/>
          </w:tcPr>
          <w:p w14:paraId="4FD0DF7E">
            <w:pPr>
              <w:pStyle w:val="2"/>
              <w:spacing w:line="360" w:lineRule="auto"/>
              <w:jc w:val="center"/>
              <w:rPr>
                <w:rFonts w:ascii="Arial" w:hAnsi="Arial" w:eastAsia="AdobeHeitiStd-Regular" w:cs="Arial"/>
                <w:sz w:val="13"/>
                <w:szCs w:val="13"/>
              </w:rPr>
            </w:pPr>
            <w:r>
              <w:rPr>
                <w:rFonts w:ascii="Arial" w:hAnsi="Arial" w:eastAsia="AdobeHeitiStd-Regular" w:cs="Arial"/>
                <w:sz w:val="13"/>
                <w:szCs w:val="13"/>
              </w:rPr>
              <w:t>RCT</w:t>
            </w:r>
          </w:p>
        </w:tc>
        <w:tc>
          <w:tcPr>
            <w:tcW w:w="1588" w:type="dxa"/>
          </w:tcPr>
          <w:p w14:paraId="661B5EBA">
            <w:pPr>
              <w:pStyle w:val="2"/>
              <w:spacing w:line="360" w:lineRule="auto"/>
              <w:jc w:val="center"/>
              <w:rPr>
                <w:rFonts w:ascii="Arial" w:hAnsi="Arial" w:eastAsia="AdobeHeitiStd-Regular" w:cs="Arial"/>
                <w:sz w:val="13"/>
                <w:szCs w:val="13"/>
              </w:rPr>
            </w:pPr>
            <w:r>
              <w:rPr>
                <w:rFonts w:ascii="Arial" w:hAnsi="Arial" w:eastAsia="AdobeHeitiStd-Regular" w:cs="Arial"/>
                <w:sz w:val="13"/>
                <w:szCs w:val="13"/>
              </w:rPr>
              <w:t>2019</w:t>
            </w:r>
          </w:p>
        </w:tc>
      </w:tr>
      <w:tr w14:paraId="14759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4" w:type="dxa"/>
          </w:tcPr>
          <w:p w14:paraId="5841E921">
            <w:pPr>
              <w:pStyle w:val="2"/>
              <w:spacing w:line="360" w:lineRule="auto"/>
              <w:jc w:val="center"/>
              <w:rPr>
                <w:rFonts w:ascii="Arial" w:hAnsi="Arial" w:eastAsia="AdobeHeitiStd-Regular" w:cs="Arial"/>
                <w:sz w:val="13"/>
                <w:szCs w:val="13"/>
              </w:rPr>
            </w:pPr>
            <w:r>
              <w:rPr>
                <w:rFonts w:ascii="Arial" w:hAnsi="Arial" w:eastAsia="AdobeHeitiStd-Regular" w:cs="Arial"/>
                <w:sz w:val="13"/>
                <w:szCs w:val="13"/>
              </w:rPr>
              <w:t>Tim Collins</w:t>
            </w:r>
            <w:r>
              <w:rPr>
                <w:rFonts w:hint="eastAsia" w:ascii="Arial" w:hAnsi="Arial" w:eastAsia="AdobeHeitiStd-Regular" w:cs="Arial"/>
                <w:kern w:val="2"/>
                <w:sz w:val="13"/>
                <w:szCs w:val="13"/>
                <w:lang w:val="en-US" w:eastAsia="zh-CN" w:bidi="ar-SA"/>
              </w:rPr>
              <w:t>[1]</w:t>
            </w:r>
          </w:p>
          <w:p w14:paraId="15E4B1A2">
            <w:pPr>
              <w:pStyle w:val="2"/>
              <w:spacing w:line="360" w:lineRule="auto"/>
              <w:jc w:val="center"/>
              <w:rPr>
                <w:rFonts w:ascii="Arial" w:hAnsi="Arial" w:eastAsia="AdobeHeitiStd-Regular" w:cs="Arial"/>
                <w:sz w:val="13"/>
                <w:szCs w:val="13"/>
              </w:rPr>
            </w:pPr>
          </w:p>
        </w:tc>
        <w:tc>
          <w:tcPr>
            <w:tcW w:w="2831" w:type="dxa"/>
          </w:tcPr>
          <w:p w14:paraId="3650680E">
            <w:pPr>
              <w:pStyle w:val="2"/>
              <w:spacing w:line="360" w:lineRule="auto"/>
              <w:jc w:val="left"/>
              <w:rPr>
                <w:rFonts w:ascii="Arial" w:hAnsi="Arial" w:eastAsia="AdobeHeitiStd-Regular" w:cs="Arial"/>
                <w:sz w:val="13"/>
                <w:szCs w:val="13"/>
              </w:rPr>
            </w:pPr>
            <w:r>
              <w:rPr>
                <w:rFonts w:ascii="Arial" w:hAnsi="Arial" w:eastAsia="AdobeHeitiStd-Regular" w:cs="Arial"/>
                <w:sz w:val="13"/>
                <w:szCs w:val="13"/>
              </w:rPr>
              <w:t>Evidence-based consensus paper for oral care within adult critical care units.</w:t>
            </w:r>
          </w:p>
        </w:tc>
        <w:tc>
          <w:tcPr>
            <w:tcW w:w="1587" w:type="dxa"/>
          </w:tcPr>
          <w:p w14:paraId="4A4D5EE5">
            <w:pPr>
              <w:pStyle w:val="2"/>
              <w:spacing w:line="360" w:lineRule="auto"/>
              <w:jc w:val="center"/>
              <w:rPr>
                <w:rFonts w:ascii="Arial" w:hAnsi="Arial" w:eastAsia="AdobeHeitiStd-Regular" w:cs="Arial"/>
                <w:sz w:val="13"/>
                <w:szCs w:val="13"/>
              </w:rPr>
            </w:pPr>
            <w:r>
              <w:rPr>
                <w:rFonts w:ascii="Arial" w:hAnsi="Arial" w:eastAsia="AdobeHeitiStd-Regular" w:cs="Arial"/>
                <w:sz w:val="13"/>
                <w:szCs w:val="13"/>
              </w:rPr>
              <w:t>Pubmed</w:t>
            </w:r>
          </w:p>
        </w:tc>
        <w:tc>
          <w:tcPr>
            <w:tcW w:w="1152" w:type="dxa"/>
          </w:tcPr>
          <w:p w14:paraId="5EB01048">
            <w:pPr>
              <w:pStyle w:val="2"/>
              <w:spacing w:line="360" w:lineRule="auto"/>
              <w:jc w:val="center"/>
              <w:rPr>
                <w:rFonts w:ascii="Arial" w:hAnsi="Arial" w:eastAsia="AdobeHeitiStd-Regular" w:cs="Arial"/>
                <w:sz w:val="13"/>
                <w:szCs w:val="13"/>
              </w:rPr>
            </w:pPr>
            <w:r>
              <w:rPr>
                <w:rFonts w:ascii="Arial" w:hAnsi="Arial" w:eastAsia="AdobeHeitiStd-Regular" w:cs="Arial"/>
                <w:sz w:val="13"/>
                <w:szCs w:val="13"/>
              </w:rPr>
              <w:t>Expert Consensus</w:t>
            </w:r>
          </w:p>
        </w:tc>
        <w:tc>
          <w:tcPr>
            <w:tcW w:w="1588" w:type="dxa"/>
          </w:tcPr>
          <w:p w14:paraId="6A77F083">
            <w:pPr>
              <w:pStyle w:val="2"/>
              <w:spacing w:line="360" w:lineRule="auto"/>
              <w:jc w:val="center"/>
              <w:rPr>
                <w:rFonts w:ascii="Arial" w:hAnsi="Arial" w:eastAsia="AdobeHeitiStd-Regular" w:cs="Arial"/>
                <w:sz w:val="13"/>
                <w:szCs w:val="13"/>
              </w:rPr>
            </w:pPr>
            <w:r>
              <w:rPr>
                <w:rFonts w:ascii="Arial" w:hAnsi="Arial" w:eastAsia="AdobeHeitiStd-Regular" w:cs="Arial"/>
                <w:sz w:val="13"/>
                <w:szCs w:val="13"/>
              </w:rPr>
              <w:t>2020</w:t>
            </w:r>
          </w:p>
        </w:tc>
      </w:tr>
      <w:tr w14:paraId="3DB42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</w:trPr>
        <w:tc>
          <w:tcPr>
            <w:tcW w:w="1484" w:type="dxa"/>
          </w:tcPr>
          <w:p w14:paraId="48502895">
            <w:pPr>
              <w:pStyle w:val="2"/>
              <w:spacing w:line="360" w:lineRule="auto"/>
              <w:jc w:val="center"/>
              <w:rPr>
                <w:rFonts w:ascii="Arial" w:hAnsi="Arial" w:eastAsia="AdobeHeitiStd-Regular" w:cs="Arial"/>
                <w:sz w:val="13"/>
                <w:szCs w:val="13"/>
              </w:rPr>
            </w:pPr>
            <w:r>
              <w:rPr>
                <w:rFonts w:ascii="Arial" w:hAnsi="Arial" w:eastAsia="AdobeHeitiStd-Regular" w:cs="Arial"/>
                <w:sz w:val="13"/>
                <w:szCs w:val="13"/>
              </w:rPr>
              <w:t>Jace D. Johnny, DNP</w:t>
            </w:r>
            <w:r>
              <w:rPr>
                <w:rFonts w:hint="eastAsia" w:ascii="Arial" w:hAnsi="Arial" w:eastAsia="AdobeHeitiStd-Regular" w:cs="Arial"/>
                <w:kern w:val="2"/>
                <w:sz w:val="13"/>
                <w:szCs w:val="13"/>
                <w:lang w:val="en-US" w:eastAsia="zh-CN" w:bidi="ar-SA"/>
              </w:rPr>
              <w:t>[9]</w:t>
            </w:r>
          </w:p>
        </w:tc>
        <w:tc>
          <w:tcPr>
            <w:tcW w:w="2831" w:type="dxa"/>
          </w:tcPr>
          <w:p w14:paraId="0E685213">
            <w:pPr>
              <w:pStyle w:val="2"/>
              <w:spacing w:line="360" w:lineRule="auto"/>
              <w:jc w:val="left"/>
              <w:rPr>
                <w:rFonts w:ascii="Arial" w:hAnsi="Arial" w:eastAsia="AdobeHeitiStd-Regular" w:cs="Arial"/>
                <w:sz w:val="13"/>
                <w:szCs w:val="13"/>
              </w:rPr>
            </w:pPr>
            <w:r>
              <w:rPr>
                <w:rFonts w:ascii="Arial" w:hAnsi="Arial" w:eastAsia="AdobeHeitiStd-Regular" w:cs="Arial"/>
                <w:sz w:val="13"/>
                <w:szCs w:val="13"/>
              </w:rPr>
              <w:t>Oral Care in Critically Ill Patients Requiring Noninvasive Ventilation</w:t>
            </w:r>
          </w:p>
        </w:tc>
        <w:tc>
          <w:tcPr>
            <w:tcW w:w="1587" w:type="dxa"/>
          </w:tcPr>
          <w:p w14:paraId="2C242E97">
            <w:pPr>
              <w:pStyle w:val="2"/>
              <w:spacing w:line="360" w:lineRule="auto"/>
              <w:jc w:val="center"/>
              <w:rPr>
                <w:rFonts w:ascii="Arial" w:hAnsi="Arial" w:eastAsia="AdobeHeitiStd-Regular" w:cs="Arial"/>
                <w:sz w:val="13"/>
                <w:szCs w:val="13"/>
              </w:rPr>
            </w:pPr>
            <w:r>
              <w:rPr>
                <w:rFonts w:ascii="Arial" w:hAnsi="Arial" w:eastAsia="AdobeHeitiStd-Regular" w:cs="Arial"/>
                <w:sz w:val="13"/>
                <w:szCs w:val="13"/>
              </w:rPr>
              <w:t>Pubmed</w:t>
            </w:r>
          </w:p>
        </w:tc>
        <w:tc>
          <w:tcPr>
            <w:tcW w:w="1152" w:type="dxa"/>
          </w:tcPr>
          <w:p w14:paraId="2FFA53B5">
            <w:pPr>
              <w:pStyle w:val="2"/>
              <w:spacing w:line="360" w:lineRule="auto"/>
              <w:jc w:val="center"/>
              <w:rPr>
                <w:rFonts w:ascii="Arial" w:hAnsi="Arial" w:eastAsia="AdobeHeitiStd-Regular" w:cs="Arial"/>
                <w:sz w:val="13"/>
                <w:szCs w:val="13"/>
              </w:rPr>
            </w:pPr>
            <w:r>
              <w:rPr>
                <w:rFonts w:ascii="Arial" w:hAnsi="Arial" w:eastAsia="AdobeHeitiStd-Regular" w:cs="Arial"/>
                <w:sz w:val="13"/>
                <w:szCs w:val="13"/>
              </w:rPr>
              <w:t>Evidence-Based Review</w:t>
            </w:r>
          </w:p>
        </w:tc>
        <w:tc>
          <w:tcPr>
            <w:tcW w:w="1588" w:type="dxa"/>
          </w:tcPr>
          <w:p w14:paraId="6A370BEB">
            <w:pPr>
              <w:pStyle w:val="2"/>
              <w:spacing w:line="360" w:lineRule="auto"/>
              <w:jc w:val="center"/>
              <w:rPr>
                <w:rFonts w:ascii="Arial" w:hAnsi="Arial" w:eastAsia="AdobeHeitiStd-Regular" w:cs="Arial"/>
                <w:sz w:val="13"/>
                <w:szCs w:val="13"/>
              </w:rPr>
            </w:pPr>
            <w:r>
              <w:rPr>
                <w:rFonts w:ascii="Arial" w:hAnsi="Arial" w:eastAsia="AdobeHeitiStd-Regular" w:cs="Arial"/>
                <w:sz w:val="13"/>
                <w:szCs w:val="13"/>
              </w:rPr>
              <w:t>2021</w:t>
            </w:r>
          </w:p>
        </w:tc>
      </w:tr>
      <w:tr w14:paraId="46B8C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4" w:type="dxa"/>
          </w:tcPr>
          <w:p w14:paraId="3663EE4E">
            <w:pPr>
              <w:pStyle w:val="2"/>
              <w:spacing w:line="360" w:lineRule="auto"/>
              <w:jc w:val="center"/>
              <w:rPr>
                <w:rFonts w:ascii="Arial" w:hAnsi="Arial" w:eastAsia="AdobeHeitiStd-Regular" w:cs="Arial"/>
                <w:sz w:val="13"/>
                <w:szCs w:val="13"/>
              </w:rPr>
            </w:pPr>
            <w:r>
              <w:rPr>
                <w:rFonts w:ascii="Arial" w:hAnsi="Arial" w:eastAsia="Times New Roman" w:cs="Arial"/>
                <w:kern w:val="0"/>
                <w:sz w:val="13"/>
                <w:szCs w:val="13"/>
              </w:rPr>
              <w:t>Yildiz, M, etc</w:t>
            </w:r>
            <w:r>
              <w:rPr>
                <w:rFonts w:hint="eastAsia" w:ascii="Arial" w:hAnsi="Arial" w:eastAsia="AdobeHeitiStd-Regular" w:cs="Arial"/>
                <w:kern w:val="2"/>
                <w:sz w:val="13"/>
                <w:szCs w:val="13"/>
                <w:lang w:val="en-US" w:eastAsia="zh-CN" w:bidi="ar-SA"/>
              </w:rPr>
              <w:t>[12]</w:t>
            </w:r>
          </w:p>
        </w:tc>
        <w:tc>
          <w:tcPr>
            <w:tcW w:w="2831" w:type="dxa"/>
          </w:tcPr>
          <w:p w14:paraId="20F5E55B">
            <w:pPr>
              <w:pStyle w:val="2"/>
              <w:spacing w:line="360" w:lineRule="auto"/>
              <w:jc w:val="left"/>
              <w:rPr>
                <w:rFonts w:ascii="Arial" w:hAnsi="Arial" w:eastAsia="AdobeHeitiStd-Regular" w:cs="Arial"/>
                <w:sz w:val="13"/>
                <w:szCs w:val="13"/>
              </w:rPr>
            </w:pPr>
            <w:r>
              <w:rPr>
                <w:rFonts w:ascii="Arial" w:hAnsi="Arial" w:eastAsia="AdobeHeitiStd-Regular" w:cs="Arial"/>
                <w:sz w:val="13"/>
                <w:szCs w:val="13"/>
              </w:rPr>
              <w:t>Assessment of oral care needs of patients treated at the intensive care unit</w:t>
            </w:r>
          </w:p>
        </w:tc>
        <w:tc>
          <w:tcPr>
            <w:tcW w:w="1587" w:type="dxa"/>
          </w:tcPr>
          <w:p w14:paraId="3A4B6719">
            <w:pPr>
              <w:pStyle w:val="2"/>
              <w:spacing w:line="360" w:lineRule="auto"/>
              <w:jc w:val="center"/>
              <w:rPr>
                <w:rFonts w:ascii="Arial" w:hAnsi="Arial" w:eastAsia="AdobeHeitiStd-Regular" w:cs="Arial"/>
                <w:sz w:val="13"/>
                <w:szCs w:val="13"/>
              </w:rPr>
            </w:pPr>
            <w:r>
              <w:rPr>
                <w:rFonts w:ascii="Arial" w:hAnsi="Arial" w:eastAsia="AdobeHeitiStd-Regular" w:cs="Arial"/>
                <w:sz w:val="13"/>
                <w:szCs w:val="13"/>
              </w:rPr>
              <w:t>Pubmed</w:t>
            </w:r>
          </w:p>
        </w:tc>
        <w:tc>
          <w:tcPr>
            <w:tcW w:w="1152" w:type="dxa"/>
          </w:tcPr>
          <w:p w14:paraId="73BF0166">
            <w:pPr>
              <w:pStyle w:val="2"/>
              <w:spacing w:line="360" w:lineRule="auto"/>
              <w:jc w:val="center"/>
              <w:rPr>
                <w:rFonts w:ascii="Arial" w:hAnsi="Arial" w:eastAsia="AdobeHeitiStd-Regular" w:cs="Arial"/>
                <w:sz w:val="13"/>
                <w:szCs w:val="13"/>
              </w:rPr>
            </w:pPr>
            <w:r>
              <w:rPr>
                <w:rFonts w:ascii="Arial" w:hAnsi="Arial" w:eastAsia="AdobeHeitiStd-Regular" w:cs="Arial"/>
                <w:sz w:val="13"/>
                <w:szCs w:val="13"/>
              </w:rPr>
              <w:t>cross-sectional study</w:t>
            </w:r>
          </w:p>
        </w:tc>
        <w:tc>
          <w:tcPr>
            <w:tcW w:w="1588" w:type="dxa"/>
          </w:tcPr>
          <w:p w14:paraId="3899ABC8">
            <w:pPr>
              <w:pStyle w:val="2"/>
              <w:spacing w:line="360" w:lineRule="auto"/>
              <w:jc w:val="center"/>
              <w:rPr>
                <w:rFonts w:ascii="Arial" w:hAnsi="Arial" w:eastAsia="AdobeHeitiStd-Regular" w:cs="Arial"/>
                <w:sz w:val="13"/>
                <w:szCs w:val="13"/>
              </w:rPr>
            </w:pPr>
            <w:r>
              <w:rPr>
                <w:rFonts w:ascii="Arial" w:hAnsi="Arial" w:eastAsia="AdobeHeitiStd-Regular" w:cs="Arial"/>
                <w:sz w:val="13"/>
                <w:szCs w:val="13"/>
              </w:rPr>
              <w:t>2013</w:t>
            </w:r>
          </w:p>
        </w:tc>
      </w:tr>
      <w:tr w14:paraId="14160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3" w:hRule="atLeast"/>
        </w:trPr>
        <w:tc>
          <w:tcPr>
            <w:tcW w:w="1484" w:type="dxa"/>
          </w:tcPr>
          <w:p w14:paraId="3BDEEF42">
            <w:pPr>
              <w:pStyle w:val="2"/>
              <w:spacing w:line="360" w:lineRule="auto"/>
              <w:jc w:val="center"/>
              <w:rPr>
                <w:rFonts w:ascii="Arial" w:hAnsi="Arial" w:eastAsia="AdobeHeitiStd-Regular" w:cs="Arial"/>
                <w:sz w:val="13"/>
                <w:szCs w:val="13"/>
              </w:rPr>
            </w:pPr>
            <w:r>
              <w:rPr>
                <w:rFonts w:ascii="Arial" w:hAnsi="Arial" w:eastAsia="AdobeHeitiStd-Regular" w:cs="Arial"/>
                <w:sz w:val="13"/>
                <w:szCs w:val="13"/>
              </w:rPr>
              <w:t>Asako Kaneoka, Jessica M.etc</w:t>
            </w:r>
            <w:r>
              <w:rPr>
                <w:rFonts w:hint="eastAsia" w:ascii="Arial" w:hAnsi="Arial" w:eastAsia="AdobeHeitiStd-Regular" w:cs="Arial"/>
                <w:kern w:val="2"/>
                <w:sz w:val="13"/>
                <w:szCs w:val="13"/>
                <w:lang w:val="en-US" w:eastAsia="zh-CN" w:bidi="ar-SA"/>
              </w:rPr>
              <w:t>[11]</w:t>
            </w:r>
          </w:p>
        </w:tc>
        <w:tc>
          <w:tcPr>
            <w:tcW w:w="2831" w:type="dxa"/>
          </w:tcPr>
          <w:p w14:paraId="01B025BF">
            <w:pPr>
              <w:pStyle w:val="2"/>
              <w:spacing w:line="360" w:lineRule="auto"/>
              <w:jc w:val="left"/>
              <w:rPr>
                <w:rFonts w:ascii="Arial" w:hAnsi="Arial" w:eastAsia="AdobeHeitiStd-Regular" w:cs="Arial"/>
                <w:sz w:val="13"/>
                <w:szCs w:val="13"/>
              </w:rPr>
            </w:pPr>
            <w:r>
              <w:rPr>
                <w:rFonts w:ascii="Arial" w:hAnsi="Arial" w:eastAsia="AdobeHeitiStd-Regular" w:cs="Arial"/>
                <w:sz w:val="13"/>
                <w:szCs w:val="13"/>
              </w:rPr>
              <w:t>Prevention of Healthcare-Associated Pneumonia with Oral Care in Individuals Without Mechanical Ventilation</w:t>
            </w:r>
          </w:p>
        </w:tc>
        <w:tc>
          <w:tcPr>
            <w:tcW w:w="1587" w:type="dxa"/>
          </w:tcPr>
          <w:p w14:paraId="3787324C">
            <w:pPr>
              <w:pStyle w:val="2"/>
              <w:spacing w:line="360" w:lineRule="auto"/>
              <w:jc w:val="center"/>
              <w:rPr>
                <w:rFonts w:ascii="Arial" w:hAnsi="Arial" w:eastAsia="AdobeHeitiStd-Regular" w:cs="Arial"/>
                <w:sz w:val="13"/>
                <w:szCs w:val="13"/>
              </w:rPr>
            </w:pPr>
            <w:r>
              <w:rPr>
                <w:rFonts w:ascii="Arial" w:hAnsi="Arial" w:eastAsia="AdobeHeitiStd-Regular" w:cs="Arial"/>
                <w:sz w:val="13"/>
                <w:szCs w:val="13"/>
              </w:rPr>
              <w:t>Cochran library</w:t>
            </w:r>
          </w:p>
        </w:tc>
        <w:tc>
          <w:tcPr>
            <w:tcW w:w="1152" w:type="dxa"/>
          </w:tcPr>
          <w:p w14:paraId="2E629D92">
            <w:pPr>
              <w:pStyle w:val="2"/>
              <w:spacing w:line="360" w:lineRule="auto"/>
              <w:jc w:val="center"/>
              <w:rPr>
                <w:rFonts w:ascii="Arial" w:hAnsi="Arial" w:eastAsia="AdobeHeitiStd-Regular" w:cs="Arial"/>
                <w:sz w:val="13"/>
                <w:szCs w:val="13"/>
              </w:rPr>
            </w:pPr>
            <w:r>
              <w:rPr>
                <w:rFonts w:hint="eastAsia" w:eastAsia="Times New Roman"/>
                <w:sz w:val="13"/>
                <w:szCs w:val="13"/>
              </w:rPr>
              <w:t>systematic review</w:t>
            </w:r>
          </w:p>
        </w:tc>
        <w:tc>
          <w:tcPr>
            <w:tcW w:w="1588" w:type="dxa"/>
          </w:tcPr>
          <w:p w14:paraId="00E9DA16">
            <w:pPr>
              <w:pStyle w:val="2"/>
              <w:spacing w:line="360" w:lineRule="auto"/>
              <w:jc w:val="center"/>
              <w:rPr>
                <w:rFonts w:ascii="Arial" w:hAnsi="Arial" w:eastAsia="AdobeHeitiStd-Regular" w:cs="Arial"/>
                <w:sz w:val="13"/>
                <w:szCs w:val="13"/>
              </w:rPr>
            </w:pPr>
            <w:r>
              <w:rPr>
                <w:rFonts w:ascii="Arial" w:hAnsi="Arial" w:eastAsia="AdobeHeitiStd-Regular" w:cs="Arial"/>
                <w:sz w:val="13"/>
                <w:szCs w:val="13"/>
              </w:rPr>
              <w:t>2015</w:t>
            </w:r>
          </w:p>
        </w:tc>
      </w:tr>
      <w:tr w14:paraId="7C54F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4" w:type="dxa"/>
          </w:tcPr>
          <w:p w14:paraId="75CB5EE7">
            <w:pPr>
              <w:widowControl/>
              <w:spacing w:line="360" w:lineRule="auto"/>
              <w:jc w:val="center"/>
              <w:rPr>
                <w:rFonts w:eastAsia="Times New Roman"/>
                <w:sz w:val="13"/>
                <w:szCs w:val="13"/>
              </w:rPr>
            </w:pPr>
            <w:r>
              <w:rPr>
                <w:rFonts w:eastAsia="Times New Roman"/>
                <w:sz w:val="13"/>
                <w:szCs w:val="13"/>
              </w:rPr>
              <w:t>Emery, K. P. etc</w:t>
            </w:r>
            <w:r>
              <w:rPr>
                <w:rFonts w:hint="eastAsia" w:ascii="Arial" w:hAnsi="Arial" w:eastAsia="Times New Roman" w:cs="Arial"/>
                <w:kern w:val="2"/>
                <w:sz w:val="13"/>
                <w:szCs w:val="13"/>
                <w:lang w:val="en-US" w:eastAsia="zh-CN" w:bidi="ar-SA"/>
              </w:rPr>
              <w:t>[10]</w:t>
            </w:r>
          </w:p>
          <w:p w14:paraId="083C0F0F">
            <w:pPr>
              <w:pStyle w:val="2"/>
              <w:spacing w:line="360" w:lineRule="auto"/>
              <w:jc w:val="center"/>
              <w:rPr>
                <w:rFonts w:ascii="Arial" w:hAnsi="Arial" w:eastAsia="Times New Roman" w:cs="Arial"/>
                <w:sz w:val="13"/>
                <w:szCs w:val="13"/>
              </w:rPr>
            </w:pPr>
          </w:p>
        </w:tc>
        <w:tc>
          <w:tcPr>
            <w:tcW w:w="2831" w:type="dxa"/>
          </w:tcPr>
          <w:p w14:paraId="689E3E1D">
            <w:pPr>
              <w:pStyle w:val="2"/>
              <w:spacing w:line="360" w:lineRule="auto"/>
              <w:jc w:val="left"/>
              <w:rPr>
                <w:rFonts w:ascii="Arial" w:hAnsi="Arial" w:eastAsia="AdobeHeitiStd-Regular" w:cs="Arial"/>
                <w:sz w:val="13"/>
                <w:szCs w:val="13"/>
              </w:rPr>
            </w:pPr>
            <w:r>
              <w:rPr>
                <w:rFonts w:ascii="Arial" w:hAnsi="Arial" w:eastAsia="Times New Roman" w:cs="Arial"/>
                <w:sz w:val="13"/>
                <w:szCs w:val="13"/>
              </w:rPr>
              <w:t>Oral care practices in non-mechanically ventilated intensive care unit patients</w:t>
            </w:r>
          </w:p>
        </w:tc>
        <w:tc>
          <w:tcPr>
            <w:tcW w:w="1587" w:type="dxa"/>
          </w:tcPr>
          <w:p w14:paraId="3BEE0A89">
            <w:pPr>
              <w:pStyle w:val="2"/>
              <w:spacing w:line="360" w:lineRule="auto"/>
              <w:jc w:val="center"/>
              <w:rPr>
                <w:rFonts w:ascii="Arial" w:hAnsi="Arial" w:eastAsia="AdobeHeitiStd-Regular" w:cs="Arial"/>
                <w:sz w:val="13"/>
                <w:szCs w:val="13"/>
              </w:rPr>
            </w:pPr>
            <w:r>
              <w:rPr>
                <w:rFonts w:ascii="Arial" w:hAnsi="Arial" w:eastAsia="Times New Roman" w:cs="Arial"/>
                <w:sz w:val="13"/>
                <w:szCs w:val="13"/>
              </w:rPr>
              <w:t>Pubmed</w:t>
            </w:r>
          </w:p>
        </w:tc>
        <w:tc>
          <w:tcPr>
            <w:tcW w:w="1152" w:type="dxa"/>
          </w:tcPr>
          <w:p w14:paraId="5876FBDD">
            <w:pPr>
              <w:pStyle w:val="2"/>
              <w:spacing w:line="360" w:lineRule="auto"/>
              <w:jc w:val="center"/>
              <w:rPr>
                <w:rFonts w:ascii="Arial" w:hAnsi="Arial" w:eastAsia="AdobeHeitiStd-Regular" w:cs="Arial"/>
                <w:sz w:val="13"/>
                <w:szCs w:val="13"/>
              </w:rPr>
            </w:pPr>
            <w:r>
              <w:rPr>
                <w:rFonts w:ascii="Arial" w:hAnsi="Arial" w:eastAsia="AdobeHeitiStd-Regular" w:cs="Arial"/>
                <w:sz w:val="13"/>
                <w:szCs w:val="13"/>
              </w:rPr>
              <w:t>integrative review</w:t>
            </w:r>
          </w:p>
        </w:tc>
        <w:tc>
          <w:tcPr>
            <w:tcW w:w="1588" w:type="dxa"/>
          </w:tcPr>
          <w:p w14:paraId="133A0D8C">
            <w:pPr>
              <w:pStyle w:val="2"/>
              <w:spacing w:line="360" w:lineRule="auto"/>
              <w:jc w:val="center"/>
              <w:rPr>
                <w:rFonts w:ascii="Arial" w:hAnsi="Arial" w:eastAsia="Times New Roman" w:cs="Arial"/>
                <w:sz w:val="13"/>
                <w:szCs w:val="13"/>
              </w:rPr>
            </w:pPr>
            <w:r>
              <w:rPr>
                <w:rFonts w:ascii="Arial" w:hAnsi="Arial" w:eastAsia="AdobeHeitiStd-Regular" w:cs="Arial"/>
                <w:sz w:val="13"/>
                <w:szCs w:val="13"/>
              </w:rPr>
              <w:t>2019</w:t>
            </w:r>
          </w:p>
        </w:tc>
      </w:tr>
      <w:tr w14:paraId="4350C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1484" w:type="dxa"/>
          </w:tcPr>
          <w:p w14:paraId="1E033AB8">
            <w:pPr>
              <w:pStyle w:val="2"/>
              <w:spacing w:line="360" w:lineRule="auto"/>
              <w:jc w:val="center"/>
              <w:rPr>
                <w:rFonts w:ascii="Arial" w:hAnsi="Arial" w:eastAsia="Times New Roman" w:cs="Arial"/>
                <w:sz w:val="13"/>
                <w:szCs w:val="13"/>
              </w:rPr>
            </w:pPr>
            <w:r>
              <w:rPr>
                <w:rFonts w:ascii="Arial" w:hAnsi="Arial" w:eastAsia="Times New Roman" w:cs="Arial"/>
                <w:sz w:val="13"/>
                <w:szCs w:val="13"/>
              </w:rPr>
              <w:t xml:space="preserve">Tracy A. Smith,etc </w:t>
            </w:r>
            <w:r>
              <w:rPr>
                <w:rFonts w:hint="eastAsia" w:ascii="Arial" w:hAnsi="Arial" w:eastAsia="Times New Roman" w:cs="Arial"/>
                <w:kern w:val="2"/>
                <w:sz w:val="13"/>
                <w:szCs w:val="13"/>
                <w:lang w:val="en-US" w:eastAsia="zh-CN" w:bidi="ar-SA"/>
              </w:rPr>
              <w:t>[13]</w:t>
            </w:r>
          </w:p>
        </w:tc>
        <w:tc>
          <w:tcPr>
            <w:tcW w:w="2831" w:type="dxa"/>
          </w:tcPr>
          <w:p w14:paraId="5CCA0691">
            <w:pPr>
              <w:pStyle w:val="2"/>
              <w:spacing w:line="360" w:lineRule="auto"/>
              <w:jc w:val="left"/>
              <w:rPr>
                <w:rFonts w:ascii="Arial" w:hAnsi="Arial" w:eastAsia="AdobeHeitiStd-Regular" w:cs="Arial"/>
                <w:sz w:val="13"/>
                <w:szCs w:val="13"/>
              </w:rPr>
            </w:pPr>
            <w:r>
              <w:rPr>
                <w:rFonts w:ascii="Arial" w:hAnsi="Arial" w:eastAsia="Times New Roman" w:cs="Arial"/>
                <w:sz w:val="13"/>
                <w:szCs w:val="13"/>
              </w:rPr>
              <w:t>Respiratory Failure, Noninvasive Ventilation, and Symptom Burden</w:t>
            </w:r>
          </w:p>
        </w:tc>
        <w:tc>
          <w:tcPr>
            <w:tcW w:w="1587" w:type="dxa"/>
          </w:tcPr>
          <w:p w14:paraId="55F77A6B">
            <w:pPr>
              <w:pStyle w:val="2"/>
              <w:spacing w:line="360" w:lineRule="auto"/>
              <w:jc w:val="center"/>
              <w:rPr>
                <w:rFonts w:ascii="Arial" w:hAnsi="Arial" w:eastAsia="AdobeHeitiStd-Regular" w:cs="Arial"/>
                <w:sz w:val="13"/>
                <w:szCs w:val="13"/>
              </w:rPr>
            </w:pPr>
            <w:r>
              <w:rPr>
                <w:rFonts w:ascii="Arial" w:hAnsi="Arial" w:eastAsia="AdobeHeitiStd-Regular" w:cs="Arial"/>
                <w:sz w:val="13"/>
                <w:szCs w:val="13"/>
              </w:rPr>
              <w:t>Pubmed</w:t>
            </w:r>
          </w:p>
        </w:tc>
        <w:tc>
          <w:tcPr>
            <w:tcW w:w="1152" w:type="dxa"/>
          </w:tcPr>
          <w:p w14:paraId="749BA9F6">
            <w:pPr>
              <w:pStyle w:val="2"/>
              <w:spacing w:line="360" w:lineRule="auto"/>
              <w:jc w:val="center"/>
              <w:rPr>
                <w:rFonts w:ascii="Arial" w:hAnsi="Arial" w:eastAsia="AdobeHeitiStd-Regular" w:cs="Arial"/>
                <w:sz w:val="13"/>
                <w:szCs w:val="13"/>
              </w:rPr>
            </w:pPr>
            <w:r>
              <w:rPr>
                <w:rFonts w:ascii="Arial" w:hAnsi="Arial" w:eastAsia="AdobeHeitiStd-Regular" w:cs="Arial"/>
                <w:sz w:val="13"/>
                <w:szCs w:val="13"/>
              </w:rPr>
              <w:t>Observational Study</w:t>
            </w:r>
          </w:p>
        </w:tc>
        <w:tc>
          <w:tcPr>
            <w:tcW w:w="1588" w:type="dxa"/>
          </w:tcPr>
          <w:p w14:paraId="2BDD22C0">
            <w:pPr>
              <w:pStyle w:val="2"/>
              <w:spacing w:line="360" w:lineRule="auto"/>
              <w:jc w:val="center"/>
              <w:rPr>
                <w:rFonts w:ascii="Arial" w:hAnsi="Arial" w:eastAsia="AdobeHeitiStd-Regular" w:cs="Arial"/>
                <w:sz w:val="13"/>
                <w:szCs w:val="13"/>
              </w:rPr>
            </w:pPr>
            <w:r>
              <w:rPr>
                <w:rFonts w:ascii="Arial" w:hAnsi="Arial" w:eastAsia="AdobeHeitiStd-Regular" w:cs="Arial"/>
                <w:sz w:val="13"/>
                <w:szCs w:val="13"/>
              </w:rPr>
              <w:t>2019</w:t>
            </w:r>
          </w:p>
        </w:tc>
      </w:tr>
      <w:tr w14:paraId="020CF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</w:trPr>
        <w:tc>
          <w:tcPr>
            <w:tcW w:w="1484" w:type="dxa"/>
          </w:tcPr>
          <w:p w14:paraId="5E310E50">
            <w:pPr>
              <w:widowControl/>
              <w:spacing w:line="360" w:lineRule="auto"/>
              <w:jc w:val="center"/>
              <w:rPr>
                <w:rFonts w:eastAsia="Times New Roman"/>
                <w:sz w:val="13"/>
                <w:szCs w:val="13"/>
              </w:rPr>
            </w:pPr>
            <w:r>
              <w:rPr>
                <w:rFonts w:eastAsia="Times New Roman"/>
                <w:color w:val="000000"/>
                <w:kern w:val="0"/>
                <w:sz w:val="13"/>
                <w:szCs w:val="13"/>
                <w:lang w:bidi="ar"/>
              </w:rPr>
              <w:t>Ganz, F. D. etc</w:t>
            </w:r>
            <w:r>
              <w:rPr>
                <w:rFonts w:hint="eastAsia" w:ascii="Arial" w:hAnsi="Arial" w:eastAsia="Times New Roman" w:cs="Arial"/>
                <w:color w:val="000000"/>
                <w:kern w:val="0"/>
                <w:sz w:val="13"/>
                <w:szCs w:val="13"/>
                <w:lang w:val="en-US" w:eastAsia="zh-CN" w:bidi="ar"/>
              </w:rPr>
              <w:t>[5]</w:t>
            </w:r>
          </w:p>
          <w:p w14:paraId="58FA756A">
            <w:pPr>
              <w:pStyle w:val="2"/>
              <w:spacing w:line="360" w:lineRule="auto"/>
              <w:jc w:val="center"/>
              <w:rPr>
                <w:rFonts w:ascii="Arial" w:hAnsi="Arial" w:eastAsia="Times New Roman" w:cs="Arial"/>
                <w:color w:val="0000FF"/>
                <w:sz w:val="13"/>
                <w:szCs w:val="13"/>
              </w:rPr>
            </w:pPr>
          </w:p>
        </w:tc>
        <w:tc>
          <w:tcPr>
            <w:tcW w:w="2831" w:type="dxa"/>
          </w:tcPr>
          <w:p w14:paraId="50EF4DD7">
            <w:pPr>
              <w:pStyle w:val="2"/>
              <w:spacing w:line="360" w:lineRule="auto"/>
              <w:jc w:val="left"/>
              <w:rPr>
                <w:rFonts w:ascii="Arial" w:hAnsi="Arial" w:eastAsia="AdobeHeitiStd-Regular" w:cs="Arial"/>
                <w:sz w:val="13"/>
                <w:szCs w:val="13"/>
              </w:rPr>
            </w:pPr>
            <w:r>
              <w:rPr>
                <w:rFonts w:ascii="Arial" w:hAnsi="Arial" w:eastAsia="Times New Roman" w:cs="Arial"/>
                <w:sz w:val="13"/>
                <w:szCs w:val="13"/>
              </w:rPr>
              <w:t>Translation of Oral Care Practice Guidelines Into Clinical Pr</w:t>
            </w:r>
            <w:bookmarkStart w:id="0" w:name="_GoBack"/>
            <w:bookmarkEnd w:id="0"/>
            <w:r>
              <w:rPr>
                <w:rFonts w:ascii="Arial" w:hAnsi="Arial" w:eastAsia="Times New Roman" w:cs="Arial"/>
                <w:sz w:val="13"/>
                <w:szCs w:val="13"/>
              </w:rPr>
              <w:t>actice by Intensive Care Unit Nurses</w:t>
            </w:r>
          </w:p>
        </w:tc>
        <w:tc>
          <w:tcPr>
            <w:tcW w:w="1587" w:type="dxa"/>
          </w:tcPr>
          <w:p w14:paraId="067B936A">
            <w:pPr>
              <w:pStyle w:val="2"/>
              <w:spacing w:line="360" w:lineRule="auto"/>
              <w:jc w:val="center"/>
              <w:rPr>
                <w:rFonts w:ascii="Arial" w:hAnsi="Arial" w:eastAsia="AdobeHeitiStd-Regular" w:cs="Arial"/>
                <w:sz w:val="13"/>
                <w:szCs w:val="13"/>
              </w:rPr>
            </w:pPr>
            <w:r>
              <w:rPr>
                <w:rFonts w:ascii="Arial" w:hAnsi="Arial" w:eastAsia="AdobeHeitiStd-Regular" w:cs="Arial"/>
                <w:sz w:val="13"/>
                <w:szCs w:val="13"/>
              </w:rPr>
              <w:t>Pubmed</w:t>
            </w:r>
          </w:p>
        </w:tc>
        <w:tc>
          <w:tcPr>
            <w:tcW w:w="1152" w:type="dxa"/>
          </w:tcPr>
          <w:p w14:paraId="026F4CC0">
            <w:pPr>
              <w:pStyle w:val="2"/>
              <w:spacing w:line="360" w:lineRule="auto"/>
              <w:jc w:val="center"/>
              <w:rPr>
                <w:rFonts w:ascii="Arial" w:hAnsi="Arial" w:eastAsia="AdobeHeitiStd-Regular" w:cs="Arial"/>
                <w:sz w:val="13"/>
                <w:szCs w:val="13"/>
              </w:rPr>
            </w:pPr>
            <w:r>
              <w:rPr>
                <w:rFonts w:ascii="Arial" w:hAnsi="Arial" w:eastAsia="AdobeHeitiStd-Regular" w:cs="Arial"/>
                <w:sz w:val="13"/>
                <w:szCs w:val="13"/>
              </w:rPr>
              <w:t>Observational Study</w:t>
            </w:r>
          </w:p>
        </w:tc>
        <w:tc>
          <w:tcPr>
            <w:tcW w:w="1588" w:type="dxa"/>
          </w:tcPr>
          <w:p w14:paraId="0B569B6A">
            <w:pPr>
              <w:pStyle w:val="2"/>
              <w:spacing w:line="360" w:lineRule="auto"/>
              <w:jc w:val="center"/>
              <w:rPr>
                <w:rFonts w:ascii="Arial" w:hAnsi="Arial" w:eastAsia="AdobeHeitiStd-Regular" w:cs="Arial"/>
                <w:sz w:val="13"/>
                <w:szCs w:val="13"/>
              </w:rPr>
            </w:pPr>
            <w:r>
              <w:rPr>
                <w:rFonts w:ascii="Arial" w:hAnsi="Arial" w:eastAsia="AdobeHeitiStd-Regular" w:cs="Arial"/>
                <w:sz w:val="13"/>
                <w:szCs w:val="13"/>
              </w:rPr>
              <w:t>2013</w:t>
            </w:r>
          </w:p>
        </w:tc>
      </w:tr>
      <w:tr w14:paraId="77921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484" w:type="dxa"/>
          </w:tcPr>
          <w:p w14:paraId="2F3F972B">
            <w:pPr>
              <w:pStyle w:val="2"/>
              <w:spacing w:line="360" w:lineRule="auto"/>
              <w:jc w:val="center"/>
              <w:rPr>
                <w:rFonts w:ascii="Arial" w:hAnsi="Arial" w:eastAsia="Times New Roman" w:cs="Arial"/>
                <w:kern w:val="0"/>
                <w:sz w:val="13"/>
                <w:szCs w:val="13"/>
              </w:rPr>
            </w:pPr>
            <w:r>
              <w:rPr>
                <w:rFonts w:ascii="Arial" w:hAnsi="Arial" w:eastAsia="Times New Roman" w:cs="Arial"/>
                <w:kern w:val="0"/>
                <w:sz w:val="13"/>
                <w:szCs w:val="13"/>
              </w:rPr>
              <w:t>Ames, N. J.etc</w:t>
            </w:r>
            <w:r>
              <w:rPr>
                <w:rFonts w:hint="eastAsia" w:ascii="Arial" w:hAnsi="Arial" w:eastAsia="Times New Roman" w:cs="Arial"/>
                <w:kern w:val="0"/>
                <w:sz w:val="13"/>
                <w:szCs w:val="13"/>
                <w:lang w:val="en-US" w:eastAsia="zh-CN" w:bidi="ar-SA"/>
              </w:rPr>
              <w:t>[14]</w:t>
            </w:r>
          </w:p>
          <w:p w14:paraId="15AC4814">
            <w:pPr>
              <w:pStyle w:val="2"/>
              <w:spacing w:line="360" w:lineRule="auto"/>
              <w:jc w:val="center"/>
              <w:rPr>
                <w:rFonts w:ascii="Arial" w:hAnsi="Arial" w:eastAsia="Times New Roman" w:cs="Arial"/>
                <w:sz w:val="13"/>
                <w:szCs w:val="13"/>
              </w:rPr>
            </w:pPr>
          </w:p>
        </w:tc>
        <w:tc>
          <w:tcPr>
            <w:tcW w:w="2831" w:type="dxa"/>
          </w:tcPr>
          <w:p w14:paraId="7A8D6284">
            <w:pPr>
              <w:pStyle w:val="2"/>
              <w:spacing w:line="360" w:lineRule="auto"/>
              <w:jc w:val="left"/>
              <w:rPr>
                <w:rFonts w:ascii="Arial" w:hAnsi="Arial" w:eastAsia="AdobeHeitiStd-Regular" w:cs="Arial"/>
                <w:sz w:val="13"/>
                <w:szCs w:val="13"/>
              </w:rPr>
            </w:pPr>
            <w:r>
              <w:rPr>
                <w:rFonts w:ascii="Arial" w:hAnsi="Arial" w:eastAsia="Times New Roman" w:cs="Arial"/>
                <w:sz w:val="13"/>
                <w:szCs w:val="13"/>
              </w:rPr>
              <w:t>Effects of systematic oral care in critically ill patients</w:t>
            </w:r>
          </w:p>
        </w:tc>
        <w:tc>
          <w:tcPr>
            <w:tcW w:w="1587" w:type="dxa"/>
          </w:tcPr>
          <w:p w14:paraId="2D34852D">
            <w:pPr>
              <w:pStyle w:val="2"/>
              <w:spacing w:line="360" w:lineRule="auto"/>
              <w:jc w:val="center"/>
              <w:rPr>
                <w:rFonts w:ascii="Arial" w:hAnsi="Arial" w:eastAsia="AdobeHeitiStd-Regular" w:cs="Arial"/>
                <w:sz w:val="13"/>
                <w:szCs w:val="13"/>
              </w:rPr>
            </w:pPr>
            <w:r>
              <w:rPr>
                <w:rFonts w:ascii="Arial" w:hAnsi="Arial" w:eastAsia="Times New Roman" w:cs="Arial"/>
                <w:sz w:val="13"/>
                <w:szCs w:val="13"/>
              </w:rPr>
              <w:t>Pubmed</w:t>
            </w:r>
          </w:p>
        </w:tc>
        <w:tc>
          <w:tcPr>
            <w:tcW w:w="1152" w:type="dxa"/>
          </w:tcPr>
          <w:p w14:paraId="403298EC">
            <w:pPr>
              <w:pStyle w:val="2"/>
              <w:spacing w:line="360" w:lineRule="auto"/>
              <w:jc w:val="center"/>
              <w:rPr>
                <w:rFonts w:ascii="Arial" w:hAnsi="Arial" w:eastAsia="AdobeHeitiStd-Regular" w:cs="Arial"/>
                <w:sz w:val="13"/>
                <w:szCs w:val="13"/>
              </w:rPr>
            </w:pPr>
            <w:r>
              <w:rPr>
                <w:rFonts w:ascii="Arial" w:hAnsi="Arial" w:eastAsia="AdobeHeitiStd-Regular" w:cs="Arial"/>
                <w:sz w:val="13"/>
                <w:szCs w:val="13"/>
              </w:rPr>
              <w:t>class trial</w:t>
            </w:r>
          </w:p>
        </w:tc>
        <w:tc>
          <w:tcPr>
            <w:tcW w:w="1588" w:type="dxa"/>
          </w:tcPr>
          <w:p w14:paraId="0F348D6B">
            <w:pPr>
              <w:pStyle w:val="2"/>
              <w:spacing w:line="360" w:lineRule="auto"/>
              <w:jc w:val="center"/>
              <w:rPr>
                <w:rFonts w:ascii="Arial" w:hAnsi="Arial" w:eastAsia="Times New Roman" w:cs="Arial"/>
                <w:sz w:val="13"/>
                <w:szCs w:val="13"/>
              </w:rPr>
            </w:pPr>
            <w:r>
              <w:rPr>
                <w:rFonts w:ascii="Arial" w:hAnsi="Arial" w:eastAsia="AdobeHeitiStd-Regular" w:cs="Arial"/>
                <w:sz w:val="13"/>
                <w:szCs w:val="13"/>
              </w:rPr>
              <w:t>2011</w:t>
            </w:r>
          </w:p>
        </w:tc>
      </w:tr>
    </w:tbl>
    <w:p w14:paraId="3D29A73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dobeHeitiStd-Regular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0F38CA"/>
    <w:rsid w:val="55847456"/>
    <w:rsid w:val="56A958C5"/>
    <w:rsid w:val="58A053B6"/>
    <w:rsid w:val="7B60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宋体" w:cs="Arial"/>
      <w:kern w:val="2"/>
      <w:sz w:val="18"/>
      <w:szCs w:val="18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qFormat/>
    <w:uiPriority w:val="99"/>
    <w:pPr>
      <w:widowControl w:val="0"/>
      <w:tabs>
        <w:tab w:val="center" w:pos="4320"/>
        <w:tab w:val="right" w:pos="8640"/>
      </w:tabs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table" w:styleId="4">
    <w:name w:val="Table Grid"/>
    <w:basedOn w:val="3"/>
    <w:qFormat/>
    <w:uiPriority w:val="9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217</Words>
  <Characters>1342</Characters>
  <Lines>0</Lines>
  <Paragraphs>0</Paragraphs>
  <TotalTime>3</TotalTime>
  <ScaleCrop>false</ScaleCrop>
  <LinksUpToDate>false</LinksUpToDate>
  <CharactersWithSpaces>1498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2025-03-01T15:21:00Z</dcterms:created>
  <dc:creator>szycm</dc:creator>
  <cp:lastModifiedBy>cmg</cp:lastModifiedBy>
  <dcterms:modified xsi:type="dcterms:W3CDTF">2025-08-03T01:37:24Z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eyJoZGlkIjoiMmYyZGI5YjE1YTZiMDQzM2ZjMWVkNjcwNTA1NTAzOTAiLCJ1c2VySWQiOiIyMTA5MzUzOTYifQ==</vt:lpwstr>
  </property>
  <property fmtid="{D5CDD505-2E9C-101B-9397-08002B2CF9AE}" pid="4" name="ICV">
    <vt:lpwstr>7E919D0A717041F2AADAD0DE288DC847_12</vt:lpwstr>
  </property>
</Properties>
</file>